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DD9" w:rsidRDefault="00891DD9" w:rsidP="00891DD9">
      <w:pPr>
        <w:jc w:val="center"/>
        <w:rPr>
          <w:rFonts w:ascii="Calibri" w:eastAsia="Calibri" w:hAnsi="Calibri" w:cs="Calibri"/>
          <w:b/>
          <w:bCs/>
          <w:i/>
          <w:iCs/>
          <w:color w:val="767171"/>
          <w:sz w:val="28"/>
          <w:szCs w:val="28"/>
          <w:lang w:eastAsia="en-US"/>
        </w:rPr>
      </w:pPr>
    </w:p>
    <w:p w:rsidR="00891DD9" w:rsidRDefault="00891DD9" w:rsidP="00891DD9">
      <w:pPr>
        <w:jc w:val="center"/>
        <w:rPr>
          <w:rFonts w:ascii="Calibri" w:eastAsia="Calibri" w:hAnsi="Calibri" w:cs="Calibri"/>
          <w:b/>
          <w:bCs/>
          <w:i/>
          <w:iCs/>
          <w:color w:val="767171"/>
          <w:sz w:val="28"/>
          <w:szCs w:val="28"/>
          <w:lang w:eastAsia="en-US"/>
        </w:rPr>
      </w:pPr>
    </w:p>
    <w:p w:rsidR="00891DD9" w:rsidRDefault="00891DD9" w:rsidP="00891DD9">
      <w:pPr>
        <w:rPr>
          <w:rFonts w:ascii="Calibri" w:eastAsia="Calibri" w:hAnsi="Calibri" w:cs="Calibri"/>
          <w:b/>
          <w:bCs/>
          <w:color w:val="2E74B5"/>
          <w:sz w:val="28"/>
          <w:szCs w:val="28"/>
          <w:u w:val="single"/>
          <w:lang w:eastAsia="en-US"/>
        </w:rPr>
      </w:pPr>
    </w:p>
    <w:p w:rsidR="00891DD9" w:rsidRPr="00422089" w:rsidRDefault="00891DD9" w:rsidP="00891DD9">
      <w:pPr>
        <w:rPr>
          <w:rFonts w:ascii="Calibri" w:eastAsia="Calibri" w:hAnsi="Calibri" w:cs="Calibri"/>
          <w:b/>
          <w:bCs/>
          <w:color w:val="2E74B5"/>
          <w:sz w:val="28"/>
          <w:szCs w:val="28"/>
          <w:u w:val="single"/>
          <w:lang w:eastAsia="en-US"/>
        </w:rPr>
      </w:pPr>
    </w:p>
    <w:p w:rsidR="00891DD9" w:rsidRPr="00965E12" w:rsidRDefault="00891DD9" w:rsidP="00965E12">
      <w:pPr>
        <w:jc w:val="center"/>
        <w:rPr>
          <w:rFonts w:ascii="Calibri" w:eastAsia="Calibri" w:hAnsi="Calibri" w:cs="Calibri"/>
          <w:b/>
          <w:bCs/>
          <w:color w:val="767171"/>
          <w:sz w:val="32"/>
          <w:szCs w:val="32"/>
          <w:lang w:eastAsia="en-US"/>
        </w:rPr>
      </w:pPr>
      <w:r w:rsidRPr="00965E12">
        <w:rPr>
          <w:rFonts w:ascii="Calibri" w:eastAsia="Calibri" w:hAnsi="Calibri" w:cs="Calibri"/>
          <w:b/>
          <w:bCs/>
          <w:color w:val="767171"/>
          <w:sz w:val="32"/>
          <w:szCs w:val="32"/>
          <w:lang w:eastAsia="en-US"/>
        </w:rPr>
        <w:t>Liste des conventions bilatérales signées par le Maroc</w:t>
      </w:r>
    </w:p>
    <w:tbl>
      <w:tblPr>
        <w:tblpPr w:leftFromText="141" w:rightFromText="141" w:vertAnchor="text" w:horzAnchor="margin" w:tblpY="2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38"/>
      </w:tblGrid>
      <w:tr w:rsidR="00891DD9" w:rsidRPr="00195A05" w:rsidTr="00965E12">
        <w:tc>
          <w:tcPr>
            <w:tcW w:w="6629" w:type="dxa"/>
            <w:shd w:val="clear" w:color="auto" w:fill="2E74B5"/>
          </w:tcPr>
          <w:p w:rsidR="00891DD9" w:rsidRPr="00422089" w:rsidRDefault="00891DD9" w:rsidP="00741B1A">
            <w:pPr>
              <w:jc w:val="center"/>
              <w:rPr>
                <w:rFonts w:ascii="Calibri" w:hAnsi="Calibri" w:cs="Calibri"/>
                <w:b/>
                <w:bCs/>
                <w:color w:val="FFFFFF"/>
                <w:lang w:val="fr-MA"/>
              </w:rPr>
            </w:pPr>
            <w:r w:rsidRPr="00422089">
              <w:rPr>
                <w:rFonts w:ascii="Calibri" w:hAnsi="Calibri" w:cs="Calibri"/>
                <w:b/>
                <w:bCs/>
                <w:color w:val="FFFFFF"/>
                <w:lang w:val="fr-MA"/>
              </w:rPr>
              <w:t>Convention</w:t>
            </w:r>
            <w:r>
              <w:rPr>
                <w:rFonts w:ascii="Calibri" w:hAnsi="Calibri" w:cs="Calibri"/>
                <w:b/>
                <w:bCs/>
                <w:color w:val="FFFFFF"/>
                <w:lang w:val="fr-MA"/>
              </w:rPr>
              <w:t>s</w:t>
            </w:r>
          </w:p>
        </w:tc>
        <w:tc>
          <w:tcPr>
            <w:tcW w:w="2438" w:type="dxa"/>
            <w:shd w:val="clear" w:color="auto" w:fill="2E74B5"/>
          </w:tcPr>
          <w:p w:rsidR="00891DD9" w:rsidRPr="00422089" w:rsidRDefault="00891DD9" w:rsidP="00741B1A">
            <w:pPr>
              <w:jc w:val="center"/>
              <w:rPr>
                <w:rFonts w:ascii="Calibri" w:hAnsi="Calibri" w:cs="Calibri"/>
                <w:b/>
                <w:bCs/>
                <w:color w:val="FFFFFF"/>
                <w:lang w:val="fr-MA"/>
              </w:rPr>
            </w:pPr>
            <w:r w:rsidRPr="00422089">
              <w:rPr>
                <w:rFonts w:ascii="Calibri" w:hAnsi="Calibri" w:cs="Calibri"/>
                <w:b/>
                <w:bCs/>
                <w:color w:val="FFFFFF"/>
                <w:lang w:val="fr-MA"/>
              </w:rPr>
              <w:t xml:space="preserve">Date de signature de la convention </w:t>
            </w:r>
          </w:p>
        </w:tc>
      </w:tr>
      <w:tr w:rsidR="00891DD9" w:rsidRPr="00195A05" w:rsidTr="00965E12">
        <w:tc>
          <w:tcPr>
            <w:tcW w:w="6629" w:type="dxa"/>
            <w:shd w:val="clear" w:color="auto" w:fill="auto"/>
          </w:tcPr>
          <w:p w:rsidR="00891DD9" w:rsidRPr="00422089" w:rsidRDefault="00891DD9" w:rsidP="00741B1A">
            <w:pPr>
              <w:pStyle w:val="Titre2"/>
              <w:jc w:val="both"/>
              <w:rPr>
                <w:rFonts w:ascii="Calibri" w:eastAsia="Times New Roman" w:hAnsi="Calibri" w:cs="Calibri"/>
                <w:b w:val="0"/>
                <w:bCs w:val="0"/>
                <w:i w:val="0"/>
                <w:iCs w:val="0"/>
                <w:sz w:val="24"/>
                <w:szCs w:val="24"/>
                <w:lang w:val="fr-MA"/>
              </w:rPr>
            </w:pPr>
            <w:r w:rsidRPr="00422089">
              <w:rPr>
                <w:rFonts w:ascii="Calibri" w:eastAsia="Times New Roman" w:hAnsi="Calibri" w:cs="Calibri"/>
                <w:b w:val="0"/>
                <w:bCs w:val="0"/>
                <w:i w:val="0"/>
                <w:iCs w:val="0"/>
                <w:sz w:val="24"/>
                <w:szCs w:val="24"/>
                <w:lang w:val="fr-MA"/>
              </w:rPr>
              <w:t>Protocole d’accord de coopération entre L’Instance Nationale de la Probité, de la Prévention et de la Lutte contre la Corruption (INPPLC) du Royaume du Maroc et l’Office Central de Lutte contre l’Enrichissement Illicite (OCLEI) du Mali</w:t>
            </w:r>
          </w:p>
        </w:tc>
        <w:tc>
          <w:tcPr>
            <w:tcW w:w="2438" w:type="dxa"/>
            <w:shd w:val="clear" w:color="auto" w:fill="auto"/>
            <w:vAlign w:val="center"/>
          </w:tcPr>
          <w:p w:rsidR="00891DD9" w:rsidRPr="00422089" w:rsidRDefault="00891DD9" w:rsidP="00741B1A">
            <w:pPr>
              <w:jc w:val="center"/>
              <w:rPr>
                <w:rFonts w:ascii="Calibri" w:hAnsi="Calibri" w:cs="Calibri"/>
                <w:lang w:val="fr-MA"/>
              </w:rPr>
            </w:pPr>
            <w:r w:rsidRPr="00422089">
              <w:rPr>
                <w:rFonts w:ascii="Calibri" w:hAnsi="Calibri" w:cs="Calibri"/>
                <w:lang w:val="fr-MA"/>
              </w:rPr>
              <w:t>2019</w:t>
            </w:r>
          </w:p>
        </w:tc>
      </w:tr>
      <w:tr w:rsidR="00891DD9" w:rsidRPr="00195A05" w:rsidTr="00965E12">
        <w:tc>
          <w:tcPr>
            <w:tcW w:w="6629" w:type="dxa"/>
            <w:shd w:val="clear" w:color="auto" w:fill="auto"/>
          </w:tcPr>
          <w:p w:rsidR="00891DD9" w:rsidRPr="00422089" w:rsidRDefault="00891DD9" w:rsidP="00741B1A">
            <w:pPr>
              <w:jc w:val="both"/>
              <w:rPr>
                <w:rFonts w:ascii="Calibri" w:hAnsi="Calibri" w:cs="Calibri"/>
                <w:lang w:val="fr-MA"/>
              </w:rPr>
            </w:pPr>
            <w:r w:rsidRPr="00422089">
              <w:rPr>
                <w:rFonts w:ascii="Calibri" w:hAnsi="Calibri" w:cs="Calibri"/>
                <w:lang w:val="fr-MA"/>
              </w:rPr>
              <w:t>Convention de coopération entre</w:t>
            </w:r>
            <w:r>
              <w:rPr>
                <w:rFonts w:ascii="Calibri" w:hAnsi="Calibri" w:cs="Calibri"/>
                <w:lang w:val="fr-MA"/>
              </w:rPr>
              <w:t xml:space="preserve"> l</w:t>
            </w:r>
            <w:r w:rsidRPr="00422089">
              <w:rPr>
                <w:rFonts w:ascii="Calibri" w:hAnsi="Calibri" w:cs="Calibri"/>
                <w:lang w:val="fr-MA"/>
              </w:rPr>
              <w:t>’Instance Nationale de la Probité, de la Prévention et de la Lutte contre la Corruption (INPPLC)</w:t>
            </w:r>
            <w:r>
              <w:rPr>
                <w:rFonts w:ascii="Calibri" w:hAnsi="Calibri" w:cs="Calibri"/>
                <w:lang w:val="fr-MA"/>
              </w:rPr>
              <w:t xml:space="preserve"> et</w:t>
            </w:r>
            <w:r w:rsidRPr="00422089">
              <w:rPr>
                <w:rFonts w:ascii="Calibri" w:hAnsi="Calibri" w:cs="Calibri"/>
                <w:lang w:val="fr-MA"/>
              </w:rPr>
              <w:t xml:space="preserve"> l’instance de lutte contre la corruption de la Palestine</w:t>
            </w:r>
            <w:r>
              <w:rPr>
                <w:rFonts w:ascii="Calibri" w:hAnsi="Calibri" w:cs="Calibri"/>
                <w:lang w:val="fr-MA"/>
              </w:rPr>
              <w:t xml:space="preserve">. </w:t>
            </w:r>
            <w:r w:rsidRPr="00422089">
              <w:rPr>
                <w:rFonts w:ascii="Calibri" w:hAnsi="Calibri" w:cs="Calibri"/>
                <w:lang w:val="fr-MA"/>
              </w:rPr>
              <w:t xml:space="preserve"> </w:t>
            </w:r>
          </w:p>
        </w:tc>
        <w:tc>
          <w:tcPr>
            <w:tcW w:w="2438" w:type="dxa"/>
            <w:shd w:val="clear" w:color="auto" w:fill="auto"/>
            <w:vAlign w:val="center"/>
          </w:tcPr>
          <w:p w:rsidR="00891DD9" w:rsidRPr="00422089" w:rsidRDefault="00891DD9" w:rsidP="00741B1A">
            <w:pPr>
              <w:jc w:val="center"/>
              <w:rPr>
                <w:rFonts w:ascii="Calibri" w:hAnsi="Calibri" w:cs="Calibri"/>
                <w:lang w:val="fr-MA"/>
              </w:rPr>
            </w:pPr>
            <w:r w:rsidRPr="00422089">
              <w:rPr>
                <w:rFonts w:ascii="Calibri" w:hAnsi="Calibri" w:cs="Calibri"/>
                <w:lang w:val="fr-MA"/>
              </w:rPr>
              <w:t>2019</w:t>
            </w:r>
          </w:p>
        </w:tc>
      </w:tr>
      <w:tr w:rsidR="00891DD9" w:rsidRPr="00195A05" w:rsidTr="00965E12">
        <w:tc>
          <w:tcPr>
            <w:tcW w:w="6629" w:type="dxa"/>
            <w:shd w:val="clear" w:color="auto" w:fill="auto"/>
          </w:tcPr>
          <w:p w:rsidR="00891DD9" w:rsidRPr="00422089" w:rsidRDefault="00891DD9" w:rsidP="00741B1A">
            <w:pPr>
              <w:jc w:val="both"/>
              <w:rPr>
                <w:rFonts w:ascii="Calibri" w:hAnsi="Calibri" w:cs="Calibri"/>
                <w:lang w:val="fr-MA"/>
              </w:rPr>
            </w:pPr>
            <w:r w:rsidRPr="00422089">
              <w:rPr>
                <w:rFonts w:ascii="Calibri" w:hAnsi="Calibri" w:cs="Calibri"/>
                <w:lang w:val="fr-MA"/>
              </w:rPr>
              <w:t xml:space="preserve">Convention de coopération entre L’Instance Nationale de la Probité, de la Prévention et de la Lutte contre la Corruption (INPPLC) du Royaume du Maroc et l’instance de lutte contre la corruption de la Tunisie </w:t>
            </w:r>
          </w:p>
        </w:tc>
        <w:tc>
          <w:tcPr>
            <w:tcW w:w="2438" w:type="dxa"/>
            <w:shd w:val="clear" w:color="auto" w:fill="auto"/>
            <w:vAlign w:val="center"/>
          </w:tcPr>
          <w:p w:rsidR="00891DD9" w:rsidRPr="00422089" w:rsidRDefault="00891DD9" w:rsidP="00741B1A">
            <w:pPr>
              <w:jc w:val="center"/>
              <w:rPr>
                <w:rFonts w:ascii="Calibri" w:hAnsi="Calibri" w:cs="Calibri"/>
                <w:lang w:val="fr-MA"/>
              </w:rPr>
            </w:pPr>
            <w:r w:rsidRPr="00422089">
              <w:rPr>
                <w:rFonts w:ascii="Calibri" w:hAnsi="Calibri" w:cs="Calibri"/>
                <w:lang w:val="fr-MA"/>
              </w:rPr>
              <w:t>2019</w:t>
            </w:r>
          </w:p>
        </w:tc>
      </w:tr>
      <w:tr w:rsidR="00A22B32" w:rsidRPr="00195A05" w:rsidTr="00965E12">
        <w:tc>
          <w:tcPr>
            <w:tcW w:w="6629" w:type="dxa"/>
            <w:shd w:val="clear" w:color="auto" w:fill="auto"/>
          </w:tcPr>
          <w:p w:rsidR="00A22B32" w:rsidRPr="00965E12" w:rsidRDefault="006753F0" w:rsidP="00741B1A">
            <w:pPr>
              <w:jc w:val="both"/>
              <w:rPr>
                <w:rFonts w:ascii="Calibri" w:hAnsi="Calibri" w:cs="Calibri"/>
                <w:lang w:val="fr-MA"/>
              </w:rPr>
            </w:pPr>
            <w:r w:rsidRPr="00965E12">
              <w:rPr>
                <w:rFonts w:ascii="Calibri" w:hAnsi="Calibri" w:cs="Calibri"/>
                <w:lang w:val="fr-MA"/>
              </w:rPr>
              <w:t>Mémorandum</w:t>
            </w:r>
            <w:r w:rsidR="004F06E3" w:rsidRPr="00965E12">
              <w:rPr>
                <w:rFonts w:ascii="Calibri" w:hAnsi="Calibri" w:cs="Calibri"/>
                <w:lang w:val="fr-MA"/>
              </w:rPr>
              <w:t xml:space="preserve"> d’entente entre l’INPPLC et la VP d’intégrité de la banque mondiale </w:t>
            </w:r>
          </w:p>
        </w:tc>
        <w:tc>
          <w:tcPr>
            <w:tcW w:w="2438" w:type="dxa"/>
            <w:shd w:val="clear" w:color="auto" w:fill="auto"/>
            <w:vAlign w:val="center"/>
          </w:tcPr>
          <w:p w:rsidR="00A22B32" w:rsidRPr="00965E12" w:rsidRDefault="00A22B32" w:rsidP="00741B1A">
            <w:pPr>
              <w:jc w:val="center"/>
              <w:rPr>
                <w:rFonts w:ascii="Calibri" w:hAnsi="Calibri" w:cs="Calibri"/>
                <w:lang w:val="fr-MA"/>
              </w:rPr>
            </w:pPr>
            <w:r w:rsidRPr="00965E12">
              <w:rPr>
                <w:rFonts w:ascii="Calibri" w:hAnsi="Calibri" w:cs="Calibri"/>
                <w:lang w:val="fr-MA"/>
              </w:rPr>
              <w:t>2023</w:t>
            </w:r>
          </w:p>
        </w:tc>
      </w:tr>
      <w:tr w:rsidR="00A22B32" w:rsidRPr="00195A05" w:rsidTr="00965E12">
        <w:tc>
          <w:tcPr>
            <w:tcW w:w="6629" w:type="dxa"/>
            <w:shd w:val="clear" w:color="auto" w:fill="auto"/>
          </w:tcPr>
          <w:p w:rsidR="00A22B32" w:rsidRPr="00965E12" w:rsidRDefault="006753F0" w:rsidP="00741B1A">
            <w:pPr>
              <w:jc w:val="both"/>
              <w:rPr>
                <w:rFonts w:ascii="Calibri" w:hAnsi="Calibri" w:cs="Calibri"/>
                <w:lang w:val="fr-MA"/>
              </w:rPr>
            </w:pPr>
            <w:r w:rsidRPr="00965E12">
              <w:rPr>
                <w:rFonts w:ascii="Calibri" w:hAnsi="Calibri" w:cs="Calibri"/>
                <w:lang w:val="fr-MA"/>
              </w:rPr>
              <w:t>Mémorandum</w:t>
            </w:r>
            <w:r w:rsidR="004F06E3" w:rsidRPr="00965E12">
              <w:rPr>
                <w:rFonts w:ascii="Calibri" w:hAnsi="Calibri" w:cs="Calibri"/>
                <w:lang w:val="fr-MA"/>
              </w:rPr>
              <w:t xml:space="preserve"> d’entente entre l’INPPLC </w:t>
            </w:r>
            <w:r w:rsidR="00985121" w:rsidRPr="00965E12">
              <w:rPr>
                <w:rFonts w:ascii="Calibri" w:hAnsi="Calibri" w:cs="Calibri"/>
                <w:lang w:val="fr-MA"/>
              </w:rPr>
              <w:t>et la</w:t>
            </w:r>
            <w:r w:rsidR="004F06E3" w:rsidRPr="00965E12">
              <w:rPr>
                <w:rFonts w:ascii="Calibri" w:hAnsi="Calibri" w:cs="Calibri"/>
                <w:lang w:val="fr-MA"/>
              </w:rPr>
              <w:t xml:space="preserve"> Commission nationale pour la prévention et la lutte contre la corruption</w:t>
            </w:r>
            <w:r w:rsidR="0020169A" w:rsidRPr="00965E12">
              <w:rPr>
                <w:rFonts w:ascii="Calibri" w:hAnsi="Calibri" w:cs="Calibri"/>
                <w:lang w:val="fr-MA"/>
              </w:rPr>
              <w:t xml:space="preserve"> du Djibouti </w:t>
            </w:r>
          </w:p>
        </w:tc>
        <w:tc>
          <w:tcPr>
            <w:tcW w:w="2438" w:type="dxa"/>
            <w:shd w:val="clear" w:color="auto" w:fill="auto"/>
            <w:vAlign w:val="center"/>
          </w:tcPr>
          <w:p w:rsidR="00A22B32" w:rsidRPr="00965E12" w:rsidRDefault="00A22B32" w:rsidP="00741B1A">
            <w:pPr>
              <w:jc w:val="center"/>
              <w:rPr>
                <w:rFonts w:ascii="Calibri" w:hAnsi="Calibri" w:cs="Calibri"/>
                <w:lang w:val="fr-MA"/>
              </w:rPr>
            </w:pPr>
            <w:r w:rsidRPr="00965E12">
              <w:rPr>
                <w:rFonts w:ascii="Calibri" w:hAnsi="Calibri" w:cs="Calibri"/>
                <w:lang w:val="fr-MA"/>
              </w:rPr>
              <w:t>2023</w:t>
            </w:r>
          </w:p>
        </w:tc>
      </w:tr>
    </w:tbl>
    <w:p w:rsidR="00891DD9" w:rsidRDefault="00891DD9" w:rsidP="00891DD9">
      <w:pPr>
        <w:rPr>
          <w:rFonts w:ascii="Calibri" w:eastAsia="Calibri" w:hAnsi="Calibri" w:cs="Calibri"/>
          <w:sz w:val="28"/>
          <w:szCs w:val="28"/>
          <w:lang w:eastAsia="en-US"/>
        </w:rPr>
      </w:pPr>
      <w:bookmarkStart w:id="0" w:name="_GoBack"/>
      <w:bookmarkEnd w:id="0"/>
    </w:p>
    <w:sectPr w:rsidR="00891DD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2B8" w:rsidRDefault="003002B8" w:rsidP="00891DD9">
      <w:r>
        <w:separator/>
      </w:r>
    </w:p>
  </w:endnote>
  <w:endnote w:type="continuationSeparator" w:id="0">
    <w:p w:rsidR="003002B8" w:rsidRDefault="003002B8" w:rsidP="0089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2B8" w:rsidRDefault="003002B8" w:rsidP="00891DD9">
      <w:r>
        <w:separator/>
      </w:r>
    </w:p>
  </w:footnote>
  <w:footnote w:type="continuationSeparator" w:id="0">
    <w:p w:rsidR="003002B8" w:rsidRDefault="003002B8" w:rsidP="0089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DD9" w:rsidRDefault="00965E12" w:rsidP="00891DD9">
    <w:pPr>
      <w:pStyle w:val="En-tte"/>
    </w:pPr>
    <w:r w:rsidRPr="00965E12">
      <w:drawing>
        <wp:anchor distT="0" distB="0" distL="114300" distR="114300" simplePos="0" relativeHeight="251660288" behindDoc="0" locked="0" layoutInCell="1" allowOverlap="1" wp14:anchorId="5CF4E100" wp14:editId="3968A347">
          <wp:simplePos x="0" y="0"/>
          <wp:positionH relativeFrom="column">
            <wp:posOffset>4979670</wp:posOffset>
          </wp:positionH>
          <wp:positionV relativeFrom="paragraph">
            <wp:posOffset>-147955</wp:posOffset>
          </wp:positionV>
          <wp:extent cx="1378585" cy="734060"/>
          <wp:effectExtent l="0" t="0" r="0" b="8890"/>
          <wp:wrapThrough wrapText="bothSides">
            <wp:wrapPolygon edited="0">
              <wp:start x="0" y="0"/>
              <wp:lineTo x="0" y="21301"/>
              <wp:lineTo x="21192" y="21301"/>
              <wp:lineTo x="21192"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24847" t="16551" r="9075" b="27635"/>
                  <a:stretch/>
                </pic:blipFill>
                <pic:spPr bwMode="auto">
                  <a:xfrm>
                    <a:off x="0" y="0"/>
                    <a:ext cx="1378585"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E12">
      <w:drawing>
        <wp:anchor distT="0" distB="0" distL="114300" distR="114300" simplePos="0" relativeHeight="251659264" behindDoc="0" locked="0" layoutInCell="1" allowOverlap="1" wp14:anchorId="6F8712D0" wp14:editId="2BE9A462">
          <wp:simplePos x="0" y="0"/>
          <wp:positionH relativeFrom="column">
            <wp:posOffset>-590550</wp:posOffset>
          </wp:positionH>
          <wp:positionV relativeFrom="paragraph">
            <wp:posOffset>-286385</wp:posOffset>
          </wp:positionV>
          <wp:extent cx="1208405" cy="1028700"/>
          <wp:effectExtent l="0" t="0" r="0" b="0"/>
          <wp:wrapThrough wrapText="bothSides">
            <wp:wrapPolygon edited="0">
              <wp:start x="16345" y="0"/>
              <wp:lineTo x="10896" y="6400"/>
              <wp:lineTo x="2724" y="6800"/>
              <wp:lineTo x="681" y="8000"/>
              <wp:lineTo x="0" y="19200"/>
              <wp:lineTo x="3065" y="21200"/>
              <wp:lineTo x="12259" y="21200"/>
              <wp:lineTo x="15664" y="19200"/>
              <wp:lineTo x="21112" y="12800"/>
              <wp:lineTo x="21112" y="6400"/>
              <wp:lineTo x="19409" y="4800"/>
              <wp:lineTo x="18388" y="0"/>
              <wp:lineTo x="16345"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2">
                    <a:extLst>
                      <a:ext uri="{28A0092B-C50C-407E-A947-70E740481C1C}">
                        <a14:useLocalDpi xmlns:a14="http://schemas.microsoft.com/office/drawing/2010/main" val="0"/>
                      </a:ext>
                    </a:extLst>
                  </a:blip>
                  <a:srcRect l="10851" t="14864" r="11865" b="19718"/>
                  <a:stretch/>
                </pic:blipFill>
                <pic:spPr bwMode="auto">
                  <a:xfrm>
                    <a:off x="0" y="0"/>
                    <a:ext cx="120840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DD9" w:rsidRDefault="00891D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D9"/>
    <w:rsid w:val="000B0D28"/>
    <w:rsid w:val="0020169A"/>
    <w:rsid w:val="002C1F9F"/>
    <w:rsid w:val="003002B8"/>
    <w:rsid w:val="00367CF6"/>
    <w:rsid w:val="004F06E3"/>
    <w:rsid w:val="0061442B"/>
    <w:rsid w:val="0062210D"/>
    <w:rsid w:val="006753F0"/>
    <w:rsid w:val="007203EE"/>
    <w:rsid w:val="007F3B0C"/>
    <w:rsid w:val="00891DD9"/>
    <w:rsid w:val="00927881"/>
    <w:rsid w:val="00965E12"/>
    <w:rsid w:val="00985121"/>
    <w:rsid w:val="009C2055"/>
    <w:rsid w:val="00A22B32"/>
    <w:rsid w:val="00A93DF3"/>
    <w:rsid w:val="00B83456"/>
    <w:rsid w:val="00D402E6"/>
    <w:rsid w:val="00E168D0"/>
    <w:rsid w:val="00ED6280"/>
    <w:rsid w:val="00F646BB"/>
    <w:rsid w:val="00FE22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6B909"/>
  <w15:chartTrackingRefBased/>
  <w15:docId w15:val="{D8F94499-5C62-47DD-989C-936F8D08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DD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91DD9"/>
    <w:pPr>
      <w:keepNext/>
      <w:jc w:val="center"/>
      <w:outlineLvl w:val="1"/>
    </w:pPr>
    <w:rPr>
      <w:rFonts w:ascii="Palatino Linotype" w:eastAsia="Calibri" w:hAnsi="Palatino Linotype"/>
      <w:b/>
      <w:bCs/>
      <w:i/>
      <w:iCs/>
      <w:sz w:val="36"/>
      <w:szCs w:val="3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91DD9"/>
    <w:rPr>
      <w:rFonts w:ascii="Palatino Linotype" w:eastAsia="Calibri" w:hAnsi="Palatino Linotype" w:cs="Times New Roman"/>
      <w:b/>
      <w:bCs/>
      <w:i/>
      <w:iCs/>
      <w:sz w:val="36"/>
      <w:szCs w:val="36"/>
      <w:lang w:val="x-none" w:eastAsia="fr-FR"/>
    </w:rPr>
  </w:style>
  <w:style w:type="paragraph" w:styleId="En-tte">
    <w:name w:val="header"/>
    <w:basedOn w:val="Normal"/>
    <w:link w:val="En-tteCar"/>
    <w:uiPriority w:val="99"/>
    <w:unhideWhenUsed/>
    <w:rsid w:val="00891DD9"/>
    <w:pPr>
      <w:tabs>
        <w:tab w:val="center" w:pos="4536"/>
        <w:tab w:val="right" w:pos="9072"/>
      </w:tabs>
    </w:pPr>
  </w:style>
  <w:style w:type="character" w:customStyle="1" w:styleId="En-tteCar">
    <w:name w:val="En-tête Car"/>
    <w:basedOn w:val="Policepardfaut"/>
    <w:link w:val="En-tte"/>
    <w:uiPriority w:val="99"/>
    <w:rsid w:val="00891DD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91DD9"/>
    <w:pPr>
      <w:tabs>
        <w:tab w:val="center" w:pos="4536"/>
        <w:tab w:val="right" w:pos="9072"/>
      </w:tabs>
    </w:pPr>
  </w:style>
  <w:style w:type="character" w:customStyle="1" w:styleId="PieddepageCar">
    <w:name w:val="Pied de page Car"/>
    <w:basedOn w:val="Policepardfaut"/>
    <w:link w:val="Pieddepage"/>
    <w:uiPriority w:val="99"/>
    <w:rsid w:val="00891DD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INPPLC</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OUCHETTO Hassania</dc:creator>
  <cp:keywords/>
  <dc:description/>
  <cp:lastModifiedBy>CHAKIR Sara</cp:lastModifiedBy>
  <cp:revision>9</cp:revision>
  <dcterms:created xsi:type="dcterms:W3CDTF">2023-11-13T15:02:00Z</dcterms:created>
  <dcterms:modified xsi:type="dcterms:W3CDTF">2023-12-08T15:21:00Z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1cbd5c45ca972f6b23850e6b84fb03d2efc32a5e97e242e074e8aac97dd3f022</vt:lpwstr>
  </property>
</Properties>
</file>